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A6" w:rsidRPr="00447AC5" w:rsidRDefault="00447AC5" w:rsidP="00AB730F">
      <w:pPr>
        <w:spacing w:line="360" w:lineRule="auto"/>
        <w:rPr>
          <w:rFonts w:ascii="Arial" w:hAnsi="Arial" w:cs="Arial"/>
          <w:b/>
          <w:sz w:val="20"/>
          <w:szCs w:val="20"/>
          <w:u w:val="single"/>
        </w:rPr>
      </w:pPr>
      <w:r w:rsidRPr="00447AC5">
        <w:rPr>
          <w:rFonts w:ascii="Arial" w:hAnsi="Arial" w:cs="Arial"/>
          <w:b/>
          <w:sz w:val="20"/>
          <w:szCs w:val="20"/>
          <w:u w:val="single"/>
        </w:rPr>
        <w:t>Proposed amendment to the Listings Requirements regarding Company secretaries</w:t>
      </w:r>
      <w:r w:rsidR="00AB730F">
        <w:rPr>
          <w:rFonts w:ascii="Arial" w:hAnsi="Arial" w:cs="Arial"/>
          <w:b/>
          <w:sz w:val="20"/>
          <w:szCs w:val="20"/>
          <w:u w:val="single"/>
        </w:rPr>
        <w:t xml:space="preserve"> and improving corporate governance </w:t>
      </w:r>
    </w:p>
    <w:p w:rsidR="00903F25" w:rsidRPr="00903F25" w:rsidRDefault="00903F25" w:rsidP="00903F25">
      <w:pPr>
        <w:pStyle w:val="NoSpacing"/>
        <w:jc w:val="both"/>
        <w:rPr>
          <w:rFonts w:cs="Arial"/>
          <w:b/>
          <w:u w:val="single"/>
        </w:rPr>
      </w:pPr>
    </w:p>
    <w:p w:rsidR="00903F25" w:rsidRDefault="00903F25" w:rsidP="00903F25">
      <w:pPr>
        <w:pStyle w:val="NoSpacing"/>
        <w:spacing w:line="360" w:lineRule="auto"/>
        <w:jc w:val="both"/>
        <w:rPr>
          <w:rFonts w:cs="Arial"/>
          <w:lang w:val="en-ZA"/>
        </w:rPr>
      </w:pPr>
      <w:r>
        <w:rPr>
          <w:rFonts w:cs="Arial"/>
          <w:u w:val="single"/>
          <w:lang w:val="en-ZA"/>
        </w:rPr>
        <w:t>Background</w:t>
      </w:r>
    </w:p>
    <w:p w:rsidR="00903F25" w:rsidRDefault="00903F25" w:rsidP="00903F25">
      <w:pPr>
        <w:pStyle w:val="NoSpacing"/>
        <w:spacing w:line="360" w:lineRule="auto"/>
        <w:jc w:val="both"/>
        <w:rPr>
          <w:rFonts w:cs="Arial"/>
          <w:lang w:val="en-ZA"/>
        </w:rPr>
      </w:pPr>
    </w:p>
    <w:p w:rsidR="00447AC5" w:rsidRDefault="00903F25" w:rsidP="00903F25">
      <w:pPr>
        <w:pStyle w:val="NoSpacing"/>
        <w:spacing w:line="360" w:lineRule="auto"/>
        <w:jc w:val="both"/>
        <w:rPr>
          <w:rFonts w:cs="Arial"/>
          <w:lang w:val="en-ZA"/>
        </w:rPr>
      </w:pPr>
      <w:r>
        <w:rPr>
          <w:rFonts w:cs="Arial"/>
          <w:lang w:val="en-ZA"/>
        </w:rPr>
        <w:t xml:space="preserve">In </w:t>
      </w:r>
      <w:r w:rsidRPr="00903F25">
        <w:rPr>
          <w:rFonts w:cs="Arial"/>
          <w:lang w:val="en-ZA"/>
        </w:rPr>
        <w:t xml:space="preserve">17 October 2011 </w:t>
      </w:r>
      <w:r>
        <w:rPr>
          <w:rFonts w:cs="Arial"/>
          <w:lang w:val="en-ZA"/>
        </w:rPr>
        <w:t>we</w:t>
      </w:r>
      <w:r w:rsidRPr="00903F25">
        <w:rPr>
          <w:rFonts w:cs="Arial"/>
          <w:lang w:val="en-ZA"/>
        </w:rPr>
        <w:t xml:space="preserve"> invited comments on proposed changes to the Listings Requirements regarding a prohibition on the company secretary being a director of the company, in any capacity.</w:t>
      </w:r>
      <w:r>
        <w:rPr>
          <w:rFonts w:cs="Arial"/>
          <w:lang w:val="en-ZA"/>
        </w:rPr>
        <w:t xml:space="preserve"> </w:t>
      </w:r>
      <w:r w:rsidRPr="00903F25">
        <w:rPr>
          <w:rFonts w:cs="Arial"/>
          <w:lang w:val="en-ZA"/>
        </w:rPr>
        <w:t xml:space="preserve">During the public consultation process concerns were raised such that we believe that some of the practical problems that the proposal will introduce will out way the desired benefits. </w:t>
      </w:r>
      <w:r>
        <w:rPr>
          <w:rFonts w:cs="Arial"/>
          <w:lang w:val="en-ZA"/>
        </w:rPr>
        <w:t xml:space="preserve"> </w:t>
      </w:r>
      <w:r w:rsidRPr="00903F25">
        <w:rPr>
          <w:rFonts w:cs="Arial"/>
          <w:lang w:val="en-ZA"/>
        </w:rPr>
        <w:t>We have therefore revised our approach on this matter, as well as introduced some other changes which aim to boost corporate governance</w:t>
      </w:r>
      <w:r>
        <w:rPr>
          <w:rFonts w:cs="Arial"/>
          <w:lang w:val="en-ZA"/>
        </w:rPr>
        <w:t>. These proposals are set out below.</w:t>
      </w:r>
    </w:p>
    <w:p w:rsidR="00903F25" w:rsidRPr="00903F25" w:rsidRDefault="00903F25" w:rsidP="00903F25">
      <w:pPr>
        <w:pStyle w:val="NoSpacing"/>
        <w:jc w:val="both"/>
        <w:rPr>
          <w:rFonts w:cs="Arial"/>
          <w:b/>
          <w:u w:val="single"/>
        </w:rPr>
      </w:pPr>
    </w:p>
    <w:p w:rsidR="002376B7" w:rsidRDefault="00447AC5" w:rsidP="00AB730F">
      <w:pPr>
        <w:pStyle w:val="NoSpacing"/>
        <w:spacing w:line="360" w:lineRule="auto"/>
        <w:jc w:val="both"/>
        <w:rPr>
          <w:rFonts w:cs="Arial"/>
          <w:lang w:val="en-ZA"/>
        </w:rPr>
      </w:pPr>
      <w:r w:rsidRPr="002376B7">
        <w:rPr>
          <w:rFonts w:cs="Arial"/>
          <w:u w:val="single"/>
          <w:lang w:val="en-ZA"/>
        </w:rPr>
        <w:t>Section 3-Continuing Obligations</w:t>
      </w:r>
      <w:r w:rsidRPr="00447AC5">
        <w:rPr>
          <w:rFonts w:cs="Arial"/>
          <w:lang w:val="en-ZA"/>
        </w:rPr>
        <w:t xml:space="preserve"> </w:t>
      </w:r>
    </w:p>
    <w:p w:rsidR="002376B7" w:rsidRDefault="002376B7" w:rsidP="00AB730F">
      <w:pPr>
        <w:pStyle w:val="NoSpacing"/>
        <w:spacing w:line="360" w:lineRule="auto"/>
        <w:jc w:val="both"/>
        <w:rPr>
          <w:rFonts w:cs="Arial"/>
          <w:lang w:val="en-ZA"/>
        </w:rPr>
      </w:pPr>
    </w:p>
    <w:p w:rsidR="00447AC5" w:rsidRPr="001167E4" w:rsidRDefault="002376B7" w:rsidP="001167E4">
      <w:pPr>
        <w:pStyle w:val="NoSpacing"/>
        <w:spacing w:line="360" w:lineRule="auto"/>
        <w:jc w:val="both"/>
        <w:rPr>
          <w:rFonts w:cs="Arial"/>
          <w:lang w:val="en-ZA"/>
        </w:rPr>
      </w:pPr>
      <w:r>
        <w:rPr>
          <w:rFonts w:cs="Arial"/>
          <w:lang w:val="en-ZA"/>
        </w:rPr>
        <w:t>P</w:t>
      </w:r>
      <w:r w:rsidR="00447AC5" w:rsidRPr="00447AC5">
        <w:rPr>
          <w:rFonts w:cs="Arial"/>
          <w:lang w:val="en-ZA"/>
        </w:rPr>
        <w:t xml:space="preserve">aragraph 3.84 deals with corporate governance. </w:t>
      </w:r>
      <w:r w:rsidR="002847FE">
        <w:rPr>
          <w:rFonts w:cs="Arial"/>
          <w:lang w:val="en-ZA"/>
        </w:rPr>
        <w:t>N</w:t>
      </w:r>
      <w:r w:rsidR="00447AC5" w:rsidRPr="00447AC5">
        <w:rPr>
          <w:rFonts w:cs="Arial"/>
          <w:lang w:val="en-ZA"/>
        </w:rPr>
        <w:t xml:space="preserve">ew </w:t>
      </w:r>
      <w:r w:rsidR="00AB730F">
        <w:rPr>
          <w:rFonts w:cs="Arial"/>
          <w:lang w:val="en-ZA"/>
        </w:rPr>
        <w:t>paragraph</w:t>
      </w:r>
      <w:r w:rsidR="002847FE">
        <w:rPr>
          <w:rFonts w:cs="Arial"/>
          <w:lang w:val="en-ZA"/>
        </w:rPr>
        <w:t>s</w:t>
      </w:r>
      <w:r w:rsidR="00AB730F">
        <w:rPr>
          <w:rFonts w:cs="Arial"/>
          <w:lang w:val="en-ZA"/>
        </w:rPr>
        <w:t xml:space="preserve"> </w:t>
      </w:r>
      <w:r w:rsidR="00447AC5" w:rsidRPr="00447AC5">
        <w:rPr>
          <w:rFonts w:cs="Arial"/>
          <w:lang w:val="en-ZA"/>
        </w:rPr>
        <w:t xml:space="preserve">3.84(j) </w:t>
      </w:r>
      <w:r w:rsidR="002847FE">
        <w:rPr>
          <w:rFonts w:cs="Arial"/>
          <w:lang w:val="en-ZA"/>
        </w:rPr>
        <w:t xml:space="preserve">and (k) </w:t>
      </w:r>
      <w:r w:rsidR="00447AC5" w:rsidRPr="00447AC5">
        <w:rPr>
          <w:rFonts w:cs="Arial"/>
          <w:lang w:val="en-ZA"/>
        </w:rPr>
        <w:t xml:space="preserve">will be inserted </w:t>
      </w:r>
      <w:r w:rsidR="00AB730F">
        <w:rPr>
          <w:rFonts w:cs="Arial"/>
          <w:lang w:val="en-ZA"/>
        </w:rPr>
        <w:t>as follows:</w:t>
      </w:r>
    </w:p>
    <w:p w:rsidR="00447AC5" w:rsidRPr="001167E4" w:rsidRDefault="00447AC5" w:rsidP="001167E4">
      <w:pPr>
        <w:pStyle w:val="NoSpacing"/>
        <w:spacing w:line="360" w:lineRule="auto"/>
        <w:jc w:val="both"/>
        <w:rPr>
          <w:rFonts w:cs="Arial"/>
          <w:lang w:val="en-ZA"/>
        </w:rPr>
      </w:pPr>
    </w:p>
    <w:p w:rsidR="002847FE" w:rsidRPr="001167E4" w:rsidRDefault="002847FE" w:rsidP="001167E4">
      <w:pPr>
        <w:pStyle w:val="ListParagraph"/>
        <w:spacing w:line="360" w:lineRule="auto"/>
        <w:ind w:left="1276" w:hanging="709"/>
        <w:jc w:val="both"/>
        <w:rPr>
          <w:rFonts w:ascii="Arial" w:hAnsi="Arial" w:cs="Arial"/>
          <w:spacing w:val="-2"/>
          <w:sz w:val="20"/>
          <w:szCs w:val="20"/>
        </w:rPr>
      </w:pPr>
      <w:r w:rsidRPr="001167E4">
        <w:rPr>
          <w:rFonts w:ascii="Arial" w:hAnsi="Arial" w:cs="Arial"/>
          <w:spacing w:val="29"/>
          <w:sz w:val="20"/>
          <w:szCs w:val="20"/>
        </w:rPr>
        <w:t>3.84 (j) the b</w:t>
      </w:r>
      <w:r w:rsidRPr="001167E4">
        <w:rPr>
          <w:rFonts w:ascii="Arial" w:hAnsi="Arial" w:cs="Arial"/>
          <w:sz w:val="20"/>
          <w:szCs w:val="20"/>
        </w:rPr>
        <w:t>oard</w:t>
      </w:r>
      <w:r w:rsidRPr="001167E4">
        <w:rPr>
          <w:rFonts w:ascii="Arial" w:hAnsi="Arial" w:cs="Arial"/>
          <w:spacing w:val="29"/>
          <w:sz w:val="20"/>
          <w:szCs w:val="20"/>
        </w:rPr>
        <w:t xml:space="preserve"> of directors </w:t>
      </w:r>
      <w:r w:rsidRPr="001167E4">
        <w:rPr>
          <w:rFonts w:ascii="Arial" w:hAnsi="Arial" w:cs="Arial"/>
          <w:spacing w:val="-2"/>
          <w:sz w:val="20"/>
          <w:szCs w:val="20"/>
        </w:rPr>
        <w:t>mus</w:t>
      </w:r>
      <w:r w:rsidRPr="001167E4">
        <w:rPr>
          <w:rFonts w:ascii="Arial" w:hAnsi="Arial" w:cs="Arial"/>
          <w:sz w:val="20"/>
          <w:szCs w:val="20"/>
        </w:rPr>
        <w:t>t</w:t>
      </w:r>
      <w:r w:rsidRPr="001167E4">
        <w:rPr>
          <w:rFonts w:ascii="Arial" w:hAnsi="Arial" w:cs="Arial"/>
          <w:spacing w:val="-21"/>
          <w:sz w:val="20"/>
          <w:szCs w:val="20"/>
        </w:rPr>
        <w:t xml:space="preserve"> </w:t>
      </w:r>
      <w:r w:rsidRPr="001167E4">
        <w:rPr>
          <w:rFonts w:ascii="Arial" w:hAnsi="Arial" w:cs="Arial"/>
          <w:sz w:val="20"/>
          <w:szCs w:val="20"/>
        </w:rPr>
        <w:t>c</w:t>
      </w:r>
      <w:r w:rsidRPr="001167E4">
        <w:rPr>
          <w:rFonts w:ascii="Arial" w:hAnsi="Arial" w:cs="Arial"/>
          <w:spacing w:val="-2"/>
          <w:sz w:val="20"/>
          <w:szCs w:val="20"/>
        </w:rPr>
        <w:t>onsider and</w:t>
      </w:r>
      <w:r w:rsidRPr="001167E4">
        <w:rPr>
          <w:rFonts w:ascii="Arial" w:hAnsi="Arial" w:cs="Arial"/>
          <w:spacing w:val="29"/>
          <w:sz w:val="20"/>
          <w:szCs w:val="20"/>
        </w:rPr>
        <w:t xml:space="preserve"> </w:t>
      </w:r>
      <w:r w:rsidRPr="001167E4">
        <w:rPr>
          <w:rFonts w:ascii="Arial" w:hAnsi="Arial" w:cs="Arial"/>
          <w:sz w:val="20"/>
          <w:szCs w:val="20"/>
        </w:rPr>
        <w:t>s</w:t>
      </w:r>
      <w:r w:rsidRPr="001167E4">
        <w:rPr>
          <w:rFonts w:ascii="Arial" w:hAnsi="Arial" w:cs="Arial"/>
          <w:spacing w:val="-2"/>
          <w:sz w:val="20"/>
          <w:szCs w:val="20"/>
        </w:rPr>
        <w:t>atisfy itself</w:t>
      </w:r>
      <w:r w:rsidRPr="001167E4">
        <w:rPr>
          <w:rFonts w:ascii="Arial" w:hAnsi="Arial" w:cs="Arial"/>
          <w:sz w:val="20"/>
          <w:szCs w:val="20"/>
        </w:rPr>
        <w:t>,</w:t>
      </w:r>
      <w:r w:rsidRPr="001167E4">
        <w:rPr>
          <w:rFonts w:ascii="Arial" w:hAnsi="Arial" w:cs="Arial"/>
          <w:spacing w:val="-21"/>
          <w:sz w:val="20"/>
          <w:szCs w:val="20"/>
        </w:rPr>
        <w:t xml:space="preserve"> </w:t>
      </w:r>
      <w:r w:rsidRPr="001167E4">
        <w:rPr>
          <w:rFonts w:ascii="Arial" w:hAnsi="Arial" w:cs="Arial"/>
          <w:spacing w:val="-2"/>
          <w:sz w:val="20"/>
          <w:szCs w:val="20"/>
        </w:rPr>
        <w:t>o</w:t>
      </w:r>
      <w:r w:rsidRPr="001167E4">
        <w:rPr>
          <w:rFonts w:ascii="Arial" w:hAnsi="Arial" w:cs="Arial"/>
          <w:sz w:val="20"/>
          <w:szCs w:val="20"/>
        </w:rPr>
        <w:t xml:space="preserve">n </w:t>
      </w:r>
      <w:r w:rsidRPr="001167E4">
        <w:rPr>
          <w:rFonts w:ascii="Arial" w:hAnsi="Arial" w:cs="Arial"/>
          <w:spacing w:val="-2"/>
          <w:sz w:val="20"/>
          <w:szCs w:val="20"/>
        </w:rPr>
        <w:t>a</w:t>
      </w:r>
      <w:r w:rsidRPr="001167E4">
        <w:rPr>
          <w:rFonts w:ascii="Arial" w:hAnsi="Arial" w:cs="Arial"/>
          <w:sz w:val="20"/>
          <w:szCs w:val="20"/>
        </w:rPr>
        <w:t>n</w:t>
      </w:r>
      <w:r w:rsidRPr="001167E4">
        <w:rPr>
          <w:rFonts w:ascii="Arial" w:hAnsi="Arial" w:cs="Arial"/>
          <w:spacing w:val="29"/>
          <w:sz w:val="20"/>
          <w:szCs w:val="20"/>
        </w:rPr>
        <w:t xml:space="preserve"> </w:t>
      </w:r>
      <w:r w:rsidRPr="001167E4">
        <w:rPr>
          <w:rFonts w:ascii="Arial" w:hAnsi="Arial" w:cs="Arial"/>
          <w:spacing w:val="-2"/>
          <w:sz w:val="20"/>
          <w:szCs w:val="20"/>
        </w:rPr>
        <w:t>a</w:t>
      </w:r>
      <w:r w:rsidRPr="001167E4">
        <w:rPr>
          <w:rFonts w:ascii="Arial" w:hAnsi="Arial" w:cs="Arial"/>
          <w:sz w:val="20"/>
          <w:szCs w:val="20"/>
        </w:rPr>
        <w:t>n</w:t>
      </w:r>
      <w:r w:rsidRPr="001167E4">
        <w:rPr>
          <w:rFonts w:ascii="Arial" w:hAnsi="Arial" w:cs="Arial"/>
          <w:spacing w:val="-2"/>
          <w:sz w:val="20"/>
          <w:szCs w:val="20"/>
        </w:rPr>
        <w:t>nu</w:t>
      </w:r>
      <w:r w:rsidRPr="001167E4">
        <w:rPr>
          <w:rFonts w:ascii="Arial" w:hAnsi="Arial" w:cs="Arial"/>
          <w:sz w:val="20"/>
          <w:szCs w:val="20"/>
        </w:rPr>
        <w:t>a</w:t>
      </w:r>
      <w:r w:rsidRPr="001167E4">
        <w:rPr>
          <w:rFonts w:ascii="Arial" w:hAnsi="Arial" w:cs="Arial"/>
          <w:spacing w:val="-2"/>
          <w:sz w:val="20"/>
          <w:szCs w:val="20"/>
        </w:rPr>
        <w:t>l</w:t>
      </w:r>
      <w:r w:rsidRPr="001167E4">
        <w:rPr>
          <w:rFonts w:ascii="Arial" w:hAnsi="Arial" w:cs="Arial"/>
          <w:spacing w:val="29"/>
          <w:sz w:val="20"/>
          <w:szCs w:val="20"/>
        </w:rPr>
        <w:t xml:space="preserve"> </w:t>
      </w:r>
      <w:r w:rsidRPr="001167E4">
        <w:rPr>
          <w:rFonts w:ascii="Arial" w:hAnsi="Arial" w:cs="Arial"/>
          <w:spacing w:val="-2"/>
          <w:sz w:val="20"/>
          <w:szCs w:val="20"/>
        </w:rPr>
        <w:t>basis</w:t>
      </w:r>
      <w:r w:rsidRPr="001167E4">
        <w:rPr>
          <w:rFonts w:ascii="Arial" w:hAnsi="Arial" w:cs="Arial"/>
          <w:sz w:val="20"/>
          <w:szCs w:val="20"/>
        </w:rPr>
        <w:t>,</w:t>
      </w:r>
      <w:r w:rsidRPr="001167E4">
        <w:rPr>
          <w:rFonts w:ascii="Arial" w:hAnsi="Arial" w:cs="Arial"/>
          <w:spacing w:val="29"/>
          <w:sz w:val="20"/>
          <w:szCs w:val="20"/>
        </w:rPr>
        <w:t xml:space="preserve"> </w:t>
      </w:r>
      <w:r w:rsidRPr="001167E4">
        <w:rPr>
          <w:rFonts w:ascii="Arial" w:hAnsi="Arial" w:cs="Arial"/>
          <w:spacing w:val="-2"/>
          <w:sz w:val="20"/>
          <w:szCs w:val="20"/>
        </w:rPr>
        <w:t>on</w:t>
      </w:r>
      <w:r w:rsidRPr="001167E4">
        <w:rPr>
          <w:rFonts w:ascii="Arial" w:hAnsi="Arial" w:cs="Arial"/>
          <w:spacing w:val="11"/>
          <w:sz w:val="20"/>
          <w:szCs w:val="20"/>
        </w:rPr>
        <w:t xml:space="preserve"> </w:t>
      </w:r>
      <w:r w:rsidRPr="001167E4">
        <w:rPr>
          <w:rFonts w:ascii="Arial" w:hAnsi="Arial" w:cs="Arial"/>
          <w:spacing w:val="-2"/>
          <w:sz w:val="20"/>
          <w:szCs w:val="20"/>
        </w:rPr>
        <w:t>t</w:t>
      </w:r>
      <w:r w:rsidRPr="001167E4">
        <w:rPr>
          <w:rFonts w:ascii="Arial" w:hAnsi="Arial" w:cs="Arial"/>
          <w:sz w:val="20"/>
          <w:szCs w:val="20"/>
        </w:rPr>
        <w:t>h</w:t>
      </w:r>
      <w:r w:rsidRPr="001167E4">
        <w:rPr>
          <w:rFonts w:ascii="Arial" w:hAnsi="Arial" w:cs="Arial"/>
          <w:spacing w:val="-2"/>
          <w:sz w:val="20"/>
          <w:szCs w:val="20"/>
        </w:rPr>
        <w:t>e</w:t>
      </w:r>
      <w:r w:rsidRPr="001167E4">
        <w:rPr>
          <w:rFonts w:ascii="Arial" w:hAnsi="Arial" w:cs="Arial"/>
          <w:spacing w:val="11"/>
          <w:sz w:val="20"/>
          <w:szCs w:val="20"/>
        </w:rPr>
        <w:t xml:space="preserve"> </w:t>
      </w:r>
      <w:r w:rsidRPr="001167E4">
        <w:rPr>
          <w:rFonts w:ascii="Arial" w:hAnsi="Arial" w:cs="Arial"/>
          <w:spacing w:val="12"/>
          <w:sz w:val="20"/>
          <w:szCs w:val="20"/>
        </w:rPr>
        <w:t xml:space="preserve">competence, qualifications and </w:t>
      </w:r>
      <w:r w:rsidRPr="001167E4">
        <w:rPr>
          <w:rFonts w:ascii="Arial" w:hAnsi="Arial" w:cs="Arial"/>
          <w:spacing w:val="-2"/>
          <w:sz w:val="20"/>
          <w:szCs w:val="20"/>
        </w:rPr>
        <w:t>experi</w:t>
      </w:r>
      <w:r w:rsidRPr="001167E4">
        <w:rPr>
          <w:rFonts w:ascii="Arial" w:hAnsi="Arial" w:cs="Arial"/>
          <w:sz w:val="20"/>
          <w:szCs w:val="20"/>
        </w:rPr>
        <w:t>e</w:t>
      </w:r>
      <w:r w:rsidRPr="001167E4">
        <w:rPr>
          <w:rFonts w:ascii="Arial" w:hAnsi="Arial" w:cs="Arial"/>
          <w:spacing w:val="-2"/>
          <w:sz w:val="20"/>
          <w:szCs w:val="20"/>
        </w:rPr>
        <w:t>nce</w:t>
      </w:r>
      <w:r w:rsidRPr="001167E4">
        <w:rPr>
          <w:rFonts w:ascii="Arial" w:hAnsi="Arial" w:cs="Arial"/>
          <w:spacing w:val="12"/>
          <w:sz w:val="20"/>
          <w:szCs w:val="20"/>
        </w:rPr>
        <w:t xml:space="preserve"> of the </w:t>
      </w:r>
      <w:r w:rsidRPr="001167E4">
        <w:rPr>
          <w:rFonts w:ascii="Arial" w:hAnsi="Arial" w:cs="Arial"/>
          <w:spacing w:val="-2"/>
          <w:sz w:val="20"/>
          <w:szCs w:val="20"/>
        </w:rPr>
        <w:t>company secretary.</w:t>
      </w:r>
      <w:r w:rsidRPr="001167E4">
        <w:rPr>
          <w:rFonts w:ascii="Arial" w:hAnsi="Arial" w:cs="Arial"/>
          <w:spacing w:val="27"/>
          <w:sz w:val="20"/>
          <w:szCs w:val="20"/>
        </w:rPr>
        <w:t xml:space="preserve"> </w:t>
      </w:r>
      <w:r w:rsidRPr="001167E4">
        <w:rPr>
          <w:rFonts w:ascii="Arial" w:hAnsi="Arial" w:cs="Arial"/>
          <w:spacing w:val="-2"/>
          <w:sz w:val="20"/>
          <w:szCs w:val="20"/>
        </w:rPr>
        <w:t>The</w:t>
      </w:r>
      <w:r w:rsidRPr="001167E4">
        <w:rPr>
          <w:rFonts w:ascii="Arial" w:hAnsi="Arial" w:cs="Arial"/>
          <w:spacing w:val="27"/>
          <w:sz w:val="20"/>
          <w:szCs w:val="20"/>
        </w:rPr>
        <w:t xml:space="preserve"> i</w:t>
      </w:r>
      <w:r w:rsidRPr="001167E4">
        <w:rPr>
          <w:rFonts w:ascii="Arial" w:hAnsi="Arial" w:cs="Arial"/>
          <w:spacing w:val="-2"/>
          <w:sz w:val="20"/>
          <w:szCs w:val="20"/>
        </w:rPr>
        <w:t>ss</w:t>
      </w:r>
      <w:r w:rsidRPr="001167E4">
        <w:rPr>
          <w:rFonts w:ascii="Arial" w:hAnsi="Arial" w:cs="Arial"/>
          <w:sz w:val="20"/>
          <w:szCs w:val="20"/>
        </w:rPr>
        <w:t>u</w:t>
      </w:r>
      <w:r w:rsidRPr="001167E4">
        <w:rPr>
          <w:rFonts w:ascii="Arial" w:hAnsi="Arial" w:cs="Arial"/>
          <w:spacing w:val="-2"/>
          <w:sz w:val="20"/>
          <w:szCs w:val="20"/>
        </w:rPr>
        <w:t>er</w:t>
      </w:r>
      <w:r w:rsidRPr="001167E4">
        <w:rPr>
          <w:rFonts w:ascii="Arial" w:hAnsi="Arial" w:cs="Arial"/>
          <w:spacing w:val="27"/>
          <w:sz w:val="20"/>
          <w:szCs w:val="20"/>
        </w:rPr>
        <w:t xml:space="preserve"> </w:t>
      </w:r>
      <w:r w:rsidRPr="001167E4">
        <w:rPr>
          <w:rFonts w:ascii="Arial" w:hAnsi="Arial" w:cs="Arial"/>
          <w:spacing w:val="-2"/>
          <w:sz w:val="20"/>
          <w:szCs w:val="20"/>
        </w:rPr>
        <w:t>must</w:t>
      </w:r>
      <w:r w:rsidRPr="001167E4">
        <w:rPr>
          <w:rFonts w:ascii="Arial" w:hAnsi="Arial" w:cs="Arial"/>
          <w:spacing w:val="27"/>
          <w:sz w:val="20"/>
          <w:szCs w:val="20"/>
        </w:rPr>
        <w:t xml:space="preserve"> </w:t>
      </w:r>
      <w:r w:rsidRPr="001167E4">
        <w:rPr>
          <w:rFonts w:ascii="Arial" w:hAnsi="Arial" w:cs="Arial"/>
          <w:spacing w:val="-2"/>
          <w:sz w:val="20"/>
          <w:szCs w:val="20"/>
        </w:rPr>
        <w:t>confirm</w:t>
      </w:r>
      <w:r w:rsidRPr="001167E4">
        <w:rPr>
          <w:rFonts w:ascii="Arial" w:hAnsi="Arial" w:cs="Arial"/>
          <w:spacing w:val="27"/>
          <w:sz w:val="20"/>
          <w:szCs w:val="20"/>
        </w:rPr>
        <w:t xml:space="preserve"> </w:t>
      </w:r>
      <w:r w:rsidRPr="001167E4">
        <w:rPr>
          <w:rFonts w:ascii="Arial" w:hAnsi="Arial" w:cs="Arial"/>
          <w:spacing w:val="-2"/>
          <w:sz w:val="20"/>
          <w:szCs w:val="20"/>
        </w:rPr>
        <w:t>this</w:t>
      </w:r>
      <w:r w:rsidRPr="001167E4">
        <w:rPr>
          <w:rFonts w:ascii="Arial" w:hAnsi="Arial" w:cs="Arial"/>
          <w:spacing w:val="27"/>
          <w:sz w:val="20"/>
          <w:szCs w:val="20"/>
        </w:rPr>
        <w:t xml:space="preserve"> </w:t>
      </w:r>
      <w:r w:rsidRPr="001167E4">
        <w:rPr>
          <w:rFonts w:ascii="Arial" w:hAnsi="Arial" w:cs="Arial"/>
          <w:spacing w:val="-2"/>
          <w:sz w:val="20"/>
          <w:szCs w:val="20"/>
        </w:rPr>
        <w:t>by</w:t>
      </w:r>
      <w:r w:rsidRPr="001167E4">
        <w:rPr>
          <w:rFonts w:ascii="Arial" w:hAnsi="Arial" w:cs="Arial"/>
          <w:spacing w:val="27"/>
          <w:sz w:val="20"/>
          <w:szCs w:val="20"/>
        </w:rPr>
        <w:t xml:space="preserve"> </w:t>
      </w:r>
      <w:r w:rsidRPr="001167E4">
        <w:rPr>
          <w:rFonts w:ascii="Arial" w:hAnsi="Arial" w:cs="Arial"/>
          <w:spacing w:val="-2"/>
          <w:sz w:val="20"/>
          <w:szCs w:val="20"/>
        </w:rPr>
        <w:t>reporti</w:t>
      </w:r>
      <w:r w:rsidRPr="001167E4">
        <w:rPr>
          <w:rFonts w:ascii="Arial" w:hAnsi="Arial" w:cs="Arial"/>
          <w:sz w:val="20"/>
          <w:szCs w:val="20"/>
        </w:rPr>
        <w:t>n</w:t>
      </w:r>
      <w:r w:rsidRPr="001167E4">
        <w:rPr>
          <w:rFonts w:ascii="Arial" w:hAnsi="Arial" w:cs="Arial"/>
          <w:spacing w:val="-2"/>
          <w:sz w:val="20"/>
          <w:szCs w:val="20"/>
        </w:rPr>
        <w:t>g</w:t>
      </w:r>
      <w:r w:rsidRPr="001167E4">
        <w:rPr>
          <w:rFonts w:ascii="Arial" w:hAnsi="Arial" w:cs="Arial"/>
          <w:spacing w:val="27"/>
          <w:sz w:val="20"/>
          <w:szCs w:val="20"/>
        </w:rPr>
        <w:t xml:space="preserve"> </w:t>
      </w:r>
      <w:r w:rsidRPr="001167E4">
        <w:rPr>
          <w:rFonts w:ascii="Arial" w:hAnsi="Arial" w:cs="Arial"/>
          <w:spacing w:val="-2"/>
          <w:sz w:val="20"/>
          <w:szCs w:val="20"/>
        </w:rPr>
        <w:t>to</w:t>
      </w:r>
      <w:r w:rsidRPr="001167E4">
        <w:rPr>
          <w:rFonts w:ascii="Arial" w:hAnsi="Arial" w:cs="Arial"/>
          <w:spacing w:val="27"/>
          <w:sz w:val="20"/>
          <w:szCs w:val="20"/>
        </w:rPr>
        <w:t xml:space="preserve"> </w:t>
      </w:r>
      <w:r w:rsidRPr="001167E4">
        <w:rPr>
          <w:rFonts w:ascii="Arial" w:hAnsi="Arial" w:cs="Arial"/>
          <w:spacing w:val="-2"/>
          <w:sz w:val="20"/>
          <w:szCs w:val="20"/>
        </w:rPr>
        <w:t>shareholders</w:t>
      </w:r>
      <w:r w:rsidRPr="001167E4">
        <w:rPr>
          <w:rFonts w:ascii="Arial" w:hAnsi="Arial" w:cs="Arial"/>
          <w:spacing w:val="6"/>
          <w:sz w:val="20"/>
          <w:szCs w:val="20"/>
        </w:rPr>
        <w:t xml:space="preserve"> </w:t>
      </w:r>
      <w:r w:rsidRPr="001167E4">
        <w:rPr>
          <w:rFonts w:ascii="Arial" w:hAnsi="Arial" w:cs="Arial"/>
          <w:sz w:val="20"/>
          <w:szCs w:val="20"/>
        </w:rPr>
        <w:t>i</w:t>
      </w:r>
      <w:r w:rsidRPr="001167E4">
        <w:rPr>
          <w:rFonts w:ascii="Arial" w:hAnsi="Arial" w:cs="Arial"/>
          <w:spacing w:val="-2"/>
          <w:sz w:val="20"/>
          <w:szCs w:val="20"/>
        </w:rPr>
        <w:t>n</w:t>
      </w:r>
      <w:r w:rsidRPr="001167E4">
        <w:rPr>
          <w:rFonts w:ascii="Arial" w:hAnsi="Arial" w:cs="Arial"/>
          <w:spacing w:val="6"/>
          <w:sz w:val="20"/>
          <w:szCs w:val="20"/>
        </w:rPr>
        <w:t xml:space="preserve"> </w:t>
      </w:r>
      <w:r w:rsidRPr="001167E4">
        <w:rPr>
          <w:rFonts w:ascii="Arial" w:hAnsi="Arial" w:cs="Arial"/>
          <w:spacing w:val="-2"/>
          <w:sz w:val="20"/>
          <w:szCs w:val="20"/>
        </w:rPr>
        <w:t>its</w:t>
      </w:r>
      <w:r w:rsidRPr="001167E4">
        <w:rPr>
          <w:rFonts w:ascii="Arial" w:hAnsi="Arial" w:cs="Arial"/>
          <w:spacing w:val="6"/>
          <w:sz w:val="20"/>
          <w:szCs w:val="20"/>
        </w:rPr>
        <w:t xml:space="preserve"> </w:t>
      </w:r>
      <w:r w:rsidRPr="001167E4">
        <w:rPr>
          <w:rFonts w:ascii="Arial" w:hAnsi="Arial" w:cs="Arial"/>
          <w:spacing w:val="-2"/>
          <w:sz w:val="20"/>
          <w:szCs w:val="20"/>
        </w:rPr>
        <w:t>ann</w:t>
      </w:r>
      <w:r w:rsidRPr="001167E4">
        <w:rPr>
          <w:rFonts w:ascii="Arial" w:hAnsi="Arial" w:cs="Arial"/>
          <w:sz w:val="20"/>
          <w:szCs w:val="20"/>
        </w:rPr>
        <w:t>u</w:t>
      </w:r>
      <w:r w:rsidRPr="001167E4">
        <w:rPr>
          <w:rFonts w:ascii="Arial" w:hAnsi="Arial" w:cs="Arial"/>
          <w:spacing w:val="-2"/>
          <w:sz w:val="20"/>
          <w:szCs w:val="20"/>
        </w:rPr>
        <w:t>al</w:t>
      </w:r>
      <w:r w:rsidRPr="001167E4">
        <w:rPr>
          <w:rFonts w:ascii="Arial" w:hAnsi="Arial" w:cs="Arial"/>
          <w:spacing w:val="6"/>
          <w:sz w:val="20"/>
          <w:szCs w:val="20"/>
        </w:rPr>
        <w:t xml:space="preserve"> </w:t>
      </w:r>
      <w:r w:rsidRPr="001167E4">
        <w:rPr>
          <w:rFonts w:ascii="Arial" w:hAnsi="Arial" w:cs="Arial"/>
          <w:spacing w:val="-2"/>
          <w:sz w:val="20"/>
          <w:szCs w:val="20"/>
        </w:rPr>
        <w:t>report</w:t>
      </w:r>
      <w:r w:rsidRPr="001167E4">
        <w:rPr>
          <w:rFonts w:ascii="Arial" w:hAnsi="Arial" w:cs="Arial"/>
          <w:spacing w:val="6"/>
          <w:sz w:val="20"/>
          <w:szCs w:val="20"/>
        </w:rPr>
        <w:t xml:space="preserve"> </w:t>
      </w:r>
      <w:r w:rsidRPr="001167E4">
        <w:rPr>
          <w:rFonts w:ascii="Arial" w:hAnsi="Arial" w:cs="Arial"/>
          <w:spacing w:val="-2"/>
          <w:sz w:val="20"/>
          <w:szCs w:val="20"/>
        </w:rPr>
        <w:t>tha</w:t>
      </w:r>
      <w:r w:rsidRPr="001167E4">
        <w:rPr>
          <w:rFonts w:ascii="Arial" w:hAnsi="Arial" w:cs="Arial"/>
          <w:sz w:val="20"/>
          <w:szCs w:val="20"/>
        </w:rPr>
        <w:t>t</w:t>
      </w:r>
      <w:r w:rsidRPr="001167E4">
        <w:rPr>
          <w:rFonts w:ascii="Arial" w:hAnsi="Arial" w:cs="Arial"/>
          <w:spacing w:val="6"/>
          <w:sz w:val="20"/>
          <w:szCs w:val="20"/>
        </w:rPr>
        <w:t xml:space="preserve"> </w:t>
      </w:r>
      <w:r w:rsidRPr="001167E4">
        <w:rPr>
          <w:rFonts w:ascii="Arial" w:hAnsi="Arial" w:cs="Arial"/>
          <w:spacing w:val="-2"/>
          <w:sz w:val="20"/>
          <w:szCs w:val="20"/>
        </w:rPr>
        <w:t>the</w:t>
      </w:r>
      <w:r w:rsidRPr="001167E4">
        <w:rPr>
          <w:rFonts w:ascii="Arial" w:hAnsi="Arial" w:cs="Arial"/>
          <w:spacing w:val="6"/>
          <w:sz w:val="20"/>
          <w:szCs w:val="20"/>
        </w:rPr>
        <w:t xml:space="preserve"> </w:t>
      </w:r>
      <w:r w:rsidRPr="001167E4">
        <w:rPr>
          <w:rFonts w:ascii="Arial" w:hAnsi="Arial" w:cs="Arial"/>
          <w:spacing w:val="-2"/>
          <w:sz w:val="20"/>
          <w:szCs w:val="20"/>
        </w:rPr>
        <w:t>board of directors has</w:t>
      </w:r>
      <w:r w:rsidRPr="001167E4">
        <w:rPr>
          <w:rFonts w:ascii="Arial" w:hAnsi="Arial" w:cs="Arial"/>
          <w:spacing w:val="6"/>
          <w:sz w:val="20"/>
          <w:szCs w:val="20"/>
        </w:rPr>
        <w:t xml:space="preserve"> </w:t>
      </w:r>
      <w:r w:rsidRPr="001167E4">
        <w:rPr>
          <w:rFonts w:ascii="Arial" w:hAnsi="Arial" w:cs="Arial"/>
          <w:sz w:val="20"/>
          <w:szCs w:val="20"/>
        </w:rPr>
        <w:t>ex</w:t>
      </w:r>
      <w:r w:rsidRPr="001167E4">
        <w:rPr>
          <w:rFonts w:ascii="Arial" w:hAnsi="Arial" w:cs="Arial"/>
          <w:spacing w:val="-2"/>
          <w:sz w:val="20"/>
          <w:szCs w:val="20"/>
        </w:rPr>
        <w:t>ecuted</w:t>
      </w:r>
      <w:r w:rsidRPr="001167E4">
        <w:rPr>
          <w:rFonts w:ascii="Arial" w:hAnsi="Arial" w:cs="Arial"/>
          <w:spacing w:val="6"/>
          <w:sz w:val="20"/>
          <w:szCs w:val="20"/>
        </w:rPr>
        <w:t xml:space="preserve"> </w:t>
      </w:r>
      <w:r w:rsidRPr="001167E4">
        <w:rPr>
          <w:rFonts w:ascii="Arial" w:hAnsi="Arial" w:cs="Arial"/>
          <w:spacing w:val="-2"/>
          <w:sz w:val="20"/>
          <w:szCs w:val="20"/>
        </w:rPr>
        <w:t>th</w:t>
      </w:r>
      <w:r w:rsidRPr="001167E4">
        <w:rPr>
          <w:rFonts w:ascii="Arial" w:hAnsi="Arial" w:cs="Arial"/>
          <w:sz w:val="20"/>
          <w:szCs w:val="20"/>
        </w:rPr>
        <w:t>i</w:t>
      </w:r>
      <w:r w:rsidRPr="001167E4">
        <w:rPr>
          <w:rFonts w:ascii="Arial" w:hAnsi="Arial" w:cs="Arial"/>
          <w:spacing w:val="-2"/>
          <w:sz w:val="20"/>
          <w:szCs w:val="20"/>
        </w:rPr>
        <w:t>s responsibi</w:t>
      </w:r>
      <w:r w:rsidRPr="001167E4">
        <w:rPr>
          <w:rFonts w:ascii="Arial" w:hAnsi="Arial" w:cs="Arial"/>
          <w:sz w:val="20"/>
          <w:szCs w:val="20"/>
        </w:rPr>
        <w:t>l</w:t>
      </w:r>
      <w:r w:rsidRPr="001167E4">
        <w:rPr>
          <w:rFonts w:ascii="Arial" w:hAnsi="Arial" w:cs="Arial"/>
          <w:spacing w:val="-2"/>
          <w:sz w:val="20"/>
          <w:szCs w:val="20"/>
        </w:rPr>
        <w:t>ity; and</w:t>
      </w:r>
    </w:p>
    <w:p w:rsidR="001167E4" w:rsidRPr="001167E4" w:rsidRDefault="002847FE" w:rsidP="001167E4">
      <w:pPr>
        <w:pStyle w:val="ListParagraph"/>
        <w:spacing w:line="360" w:lineRule="auto"/>
        <w:ind w:left="1134" w:hanging="567"/>
        <w:jc w:val="both"/>
        <w:rPr>
          <w:rFonts w:ascii="Arial" w:hAnsi="Arial" w:cs="Arial"/>
          <w:spacing w:val="-2"/>
          <w:sz w:val="20"/>
          <w:szCs w:val="20"/>
        </w:rPr>
      </w:pPr>
      <w:r w:rsidRPr="001167E4">
        <w:rPr>
          <w:rFonts w:ascii="Arial" w:hAnsi="Arial" w:cs="Arial"/>
          <w:sz w:val="20"/>
          <w:szCs w:val="20"/>
        </w:rPr>
        <w:t xml:space="preserve">3.84(k) the </w:t>
      </w:r>
      <w:r w:rsidRPr="001167E4">
        <w:rPr>
          <w:rFonts w:ascii="Arial" w:hAnsi="Arial" w:cs="Arial"/>
          <w:spacing w:val="-2"/>
          <w:sz w:val="20"/>
          <w:szCs w:val="20"/>
        </w:rPr>
        <w:t xml:space="preserve">recommended practice of the King Report on Governance for South Africa highlights, inter alia, that the company secretary should maintain an arms-length relationship with the board of directors </w:t>
      </w:r>
      <w:r w:rsidRPr="001167E4">
        <w:rPr>
          <w:rFonts w:ascii="Arial" w:hAnsi="Arial" w:cs="Arial"/>
          <w:bCs/>
          <w:spacing w:val="-2"/>
          <w:sz w:val="20"/>
          <w:szCs w:val="20"/>
        </w:rPr>
        <w:t>and</w:t>
      </w:r>
      <w:r w:rsidRPr="001167E4">
        <w:rPr>
          <w:rFonts w:ascii="Arial" w:hAnsi="Arial" w:cs="Arial"/>
          <w:spacing w:val="-2"/>
          <w:sz w:val="20"/>
          <w:szCs w:val="20"/>
        </w:rPr>
        <w:t xml:space="preserve"> that the company secretary should ideally not be a director. The board of directors must specifically consider these two points and provide motivation in its communication to shareholders in the annual report as to why it believes that there is an arms-length relationship between itself and the company secretary. </w:t>
      </w:r>
      <w:r w:rsidR="001167E4" w:rsidRPr="001167E4">
        <w:rPr>
          <w:rFonts w:ascii="Arial" w:hAnsi="Arial" w:cs="Arial"/>
          <w:spacing w:val="-2"/>
          <w:sz w:val="20"/>
          <w:szCs w:val="20"/>
        </w:rPr>
        <w:t>If the company secretary is a director of the company or if the board of directors otherwise concludes that there is not an arms-length relationship between itself and the company secretary, the board of directors must motivate how the issuer is still able to ensure that the company secretary effectively performs their role as the gatekeeper of good governance in the issuer.</w:t>
      </w:r>
    </w:p>
    <w:p w:rsidR="00AB730F" w:rsidRPr="001167E4" w:rsidRDefault="00AB730F" w:rsidP="001167E4">
      <w:pPr>
        <w:tabs>
          <w:tab w:val="left" w:pos="-284"/>
        </w:tabs>
        <w:autoSpaceDE w:val="0"/>
        <w:autoSpaceDN w:val="0"/>
        <w:spacing w:before="41" w:line="360" w:lineRule="auto"/>
        <w:ind w:left="851" w:right="521" w:hanging="567"/>
        <w:jc w:val="both"/>
        <w:rPr>
          <w:rFonts w:ascii="Arial" w:hAnsi="Arial" w:cs="Arial"/>
          <w:sz w:val="20"/>
          <w:szCs w:val="20"/>
          <w:u w:val="single"/>
        </w:rPr>
      </w:pPr>
    </w:p>
    <w:p w:rsidR="00AB730F" w:rsidRPr="002376B7" w:rsidRDefault="002376B7" w:rsidP="002376B7">
      <w:pPr>
        <w:pStyle w:val="NoSpacing"/>
        <w:spacing w:line="360" w:lineRule="auto"/>
        <w:jc w:val="both"/>
        <w:rPr>
          <w:rFonts w:cs="Arial"/>
          <w:u w:val="single"/>
          <w:lang w:val="en-ZA"/>
        </w:rPr>
      </w:pPr>
      <w:r w:rsidRPr="002376B7">
        <w:rPr>
          <w:rFonts w:cs="Arial"/>
          <w:u w:val="single"/>
          <w:lang w:val="en-ZA"/>
        </w:rPr>
        <w:t>Section 16 –Documents to be submitted to the JSE</w:t>
      </w:r>
    </w:p>
    <w:p w:rsidR="002847FE" w:rsidRDefault="002847FE" w:rsidP="002847FE">
      <w:pPr>
        <w:pStyle w:val="NoSpacing"/>
        <w:spacing w:line="360" w:lineRule="auto"/>
        <w:jc w:val="both"/>
        <w:rPr>
          <w:rFonts w:cs="Arial"/>
          <w:lang w:val="en-ZA"/>
        </w:rPr>
      </w:pPr>
    </w:p>
    <w:p w:rsidR="002847FE" w:rsidRDefault="002847FE" w:rsidP="002847FE">
      <w:pPr>
        <w:pStyle w:val="NoSpacing"/>
        <w:spacing w:line="360" w:lineRule="auto"/>
        <w:jc w:val="both"/>
        <w:rPr>
          <w:rFonts w:cs="Arial"/>
          <w:lang w:val="en-ZA"/>
        </w:rPr>
      </w:pPr>
      <w:r>
        <w:rPr>
          <w:rFonts w:cs="Arial"/>
          <w:lang w:val="en-ZA"/>
        </w:rPr>
        <w:t>In paragraph 16.1, whi</w:t>
      </w:r>
      <w:r w:rsidR="006924EC">
        <w:rPr>
          <w:rFonts w:cs="Arial"/>
          <w:lang w:val="en-ZA"/>
        </w:rPr>
        <w:t xml:space="preserve">ch deals with general matters, </w:t>
      </w:r>
      <w:r>
        <w:rPr>
          <w:rFonts w:cs="Arial"/>
          <w:lang w:val="en-ZA"/>
        </w:rPr>
        <w:t xml:space="preserve">a new paragraph </w:t>
      </w:r>
      <w:r w:rsidR="006924EC">
        <w:rPr>
          <w:rFonts w:cs="Arial"/>
          <w:lang w:val="en-ZA"/>
        </w:rPr>
        <w:t xml:space="preserve">16.1 </w:t>
      </w:r>
      <w:r>
        <w:rPr>
          <w:rFonts w:cs="Arial"/>
          <w:lang w:val="en-ZA"/>
        </w:rPr>
        <w:t xml:space="preserve">(e) </w:t>
      </w:r>
      <w:r w:rsidR="006924EC">
        <w:rPr>
          <w:rFonts w:cs="Arial"/>
          <w:lang w:val="en-ZA"/>
        </w:rPr>
        <w:t>will be inserted as follows</w:t>
      </w:r>
      <w:r>
        <w:rPr>
          <w:rFonts w:cs="Arial"/>
          <w:lang w:val="en-ZA"/>
        </w:rPr>
        <w:t xml:space="preserve">: </w:t>
      </w:r>
    </w:p>
    <w:p w:rsidR="002847FE" w:rsidRDefault="002847FE" w:rsidP="002847FE">
      <w:pPr>
        <w:pStyle w:val="NoSpacing"/>
        <w:spacing w:line="360" w:lineRule="auto"/>
        <w:ind w:left="1276" w:hanging="284"/>
        <w:jc w:val="both"/>
        <w:rPr>
          <w:rFonts w:cs="Arial"/>
          <w:lang w:val="en-ZA"/>
        </w:rPr>
      </w:pPr>
      <w:r>
        <w:rPr>
          <w:rFonts w:cs="Arial"/>
          <w:lang w:val="en-ZA"/>
        </w:rPr>
        <w:t xml:space="preserve">16.1 (e) </w:t>
      </w:r>
      <w:r w:rsidR="00903F25">
        <w:rPr>
          <w:rFonts w:cs="Arial"/>
          <w:lang w:val="en-ZA"/>
        </w:rPr>
        <w:t>s</w:t>
      </w:r>
      <w:r>
        <w:rPr>
          <w:rFonts w:cs="Arial"/>
          <w:lang w:val="en-ZA"/>
        </w:rPr>
        <w:t xml:space="preserve">everal of the schedules referred to in this section 16 require the signature of both the company secretary and a director. In the instance where the company secretary is also a director the JSE will not accept that schedule if signed by the same person in </w:t>
      </w:r>
      <w:r>
        <w:rPr>
          <w:rFonts w:cs="Arial"/>
          <w:lang w:val="en-ZA"/>
        </w:rPr>
        <w:lastRenderedPageBreak/>
        <w:t xml:space="preserve">both capacities. Therefore a director, other than the company secretary must always sign the letter. </w:t>
      </w:r>
    </w:p>
    <w:p w:rsidR="002847FE" w:rsidRPr="00447AC5" w:rsidRDefault="002847FE" w:rsidP="002847FE">
      <w:pPr>
        <w:spacing w:line="360" w:lineRule="auto"/>
        <w:rPr>
          <w:rFonts w:ascii="Arial" w:hAnsi="Arial" w:cs="Arial"/>
          <w:sz w:val="20"/>
          <w:szCs w:val="20"/>
        </w:rPr>
      </w:pPr>
    </w:p>
    <w:p w:rsidR="00AB730F" w:rsidRPr="00447AC5" w:rsidRDefault="00AB730F" w:rsidP="002376B7">
      <w:pPr>
        <w:pStyle w:val="NoSpacing"/>
        <w:spacing w:line="360" w:lineRule="auto"/>
        <w:jc w:val="both"/>
        <w:rPr>
          <w:rFonts w:cs="Arial"/>
          <w:lang w:val="en-ZA"/>
        </w:rPr>
      </w:pPr>
      <w:r>
        <w:rPr>
          <w:rFonts w:cs="Arial"/>
          <w:lang w:val="en-ZA"/>
        </w:rPr>
        <w:t>P</w:t>
      </w:r>
      <w:r w:rsidRPr="00447AC5">
        <w:rPr>
          <w:rFonts w:cs="Arial"/>
          <w:lang w:val="en-ZA"/>
        </w:rPr>
        <w:t xml:space="preserve">aragraph </w:t>
      </w:r>
      <w:r>
        <w:rPr>
          <w:rFonts w:cs="Arial"/>
          <w:lang w:val="en-ZA"/>
        </w:rPr>
        <w:t>16.10</w:t>
      </w:r>
      <w:r w:rsidRPr="00447AC5">
        <w:rPr>
          <w:rFonts w:cs="Arial"/>
          <w:lang w:val="en-ZA"/>
        </w:rPr>
        <w:t xml:space="preserve"> deals with </w:t>
      </w:r>
      <w:r>
        <w:rPr>
          <w:rFonts w:cs="Arial"/>
          <w:lang w:val="en-ZA"/>
        </w:rPr>
        <w:t xml:space="preserve">documents to be submitted by new applicants. </w:t>
      </w:r>
      <w:r w:rsidRPr="00447AC5">
        <w:rPr>
          <w:rFonts w:cs="Arial"/>
          <w:lang w:val="en-ZA"/>
        </w:rPr>
        <w:t xml:space="preserve">A new </w:t>
      </w:r>
      <w:r>
        <w:rPr>
          <w:rFonts w:cs="Arial"/>
          <w:lang w:val="en-ZA"/>
        </w:rPr>
        <w:t xml:space="preserve">paragraph 16.10(u) </w:t>
      </w:r>
      <w:r w:rsidRPr="00447AC5">
        <w:rPr>
          <w:rFonts w:cs="Arial"/>
          <w:lang w:val="en-ZA"/>
        </w:rPr>
        <w:t xml:space="preserve">will be inserted </w:t>
      </w:r>
      <w:r>
        <w:rPr>
          <w:rFonts w:cs="Arial"/>
          <w:lang w:val="en-ZA"/>
        </w:rPr>
        <w:t>as follows:</w:t>
      </w:r>
    </w:p>
    <w:p w:rsidR="00AB730F" w:rsidRPr="00AB730F" w:rsidRDefault="00AB730F" w:rsidP="002376B7">
      <w:pPr>
        <w:pStyle w:val="NoSpacing"/>
        <w:spacing w:line="360" w:lineRule="auto"/>
        <w:jc w:val="both"/>
        <w:rPr>
          <w:rFonts w:cs="Arial"/>
          <w:lang w:val="en-ZA"/>
        </w:rPr>
      </w:pPr>
    </w:p>
    <w:p w:rsidR="00AB730F" w:rsidRPr="00C73236" w:rsidRDefault="00AB730F" w:rsidP="002376B7">
      <w:pPr>
        <w:pStyle w:val="ListParagraph"/>
        <w:tabs>
          <w:tab w:val="left" w:pos="3544"/>
        </w:tabs>
        <w:spacing w:line="360" w:lineRule="auto"/>
        <w:ind w:left="851" w:hanging="567"/>
        <w:rPr>
          <w:rFonts w:ascii="Arial" w:hAnsi="Arial" w:cs="Arial"/>
          <w:sz w:val="20"/>
          <w:szCs w:val="20"/>
        </w:rPr>
      </w:pPr>
      <w:r w:rsidRPr="00C73236">
        <w:rPr>
          <w:rFonts w:ascii="Arial" w:hAnsi="Arial" w:cs="Arial"/>
          <w:sz w:val="20"/>
          <w:szCs w:val="20"/>
        </w:rPr>
        <w:t xml:space="preserve">16.10(u) a letter signed the chairman of the </w:t>
      </w:r>
      <w:r w:rsidR="002847FE">
        <w:rPr>
          <w:rFonts w:ascii="Arial" w:hAnsi="Arial" w:cs="Arial"/>
          <w:sz w:val="20"/>
          <w:szCs w:val="20"/>
        </w:rPr>
        <w:t>b</w:t>
      </w:r>
      <w:r w:rsidRPr="00C73236">
        <w:rPr>
          <w:rFonts w:ascii="Arial" w:hAnsi="Arial" w:cs="Arial"/>
          <w:sz w:val="20"/>
          <w:szCs w:val="20"/>
        </w:rPr>
        <w:t xml:space="preserve">oard </w:t>
      </w:r>
      <w:r w:rsidR="002847FE">
        <w:rPr>
          <w:rFonts w:ascii="Arial" w:hAnsi="Arial" w:cs="Arial"/>
          <w:sz w:val="20"/>
          <w:szCs w:val="20"/>
        </w:rPr>
        <w:t xml:space="preserve">of directors </w:t>
      </w:r>
      <w:r w:rsidRPr="00C73236">
        <w:rPr>
          <w:rFonts w:ascii="Arial" w:hAnsi="Arial" w:cs="Arial"/>
          <w:sz w:val="20"/>
          <w:szCs w:val="20"/>
        </w:rPr>
        <w:t>and by the chairman of the audit committee stating that:</w:t>
      </w:r>
    </w:p>
    <w:p w:rsidR="00AB730F" w:rsidRPr="00C73236" w:rsidRDefault="00AB730F" w:rsidP="00AB730F">
      <w:pPr>
        <w:pStyle w:val="ListParagraph"/>
        <w:numPr>
          <w:ilvl w:val="1"/>
          <w:numId w:val="1"/>
        </w:numPr>
        <w:tabs>
          <w:tab w:val="left" w:pos="1418"/>
        </w:tabs>
        <w:spacing w:line="360" w:lineRule="auto"/>
        <w:ind w:left="1843" w:hanging="425"/>
        <w:rPr>
          <w:rFonts w:ascii="Arial" w:hAnsi="Arial" w:cs="Arial"/>
          <w:sz w:val="20"/>
          <w:szCs w:val="20"/>
        </w:rPr>
      </w:pPr>
      <w:r w:rsidRPr="00C73236">
        <w:rPr>
          <w:rFonts w:ascii="Arial" w:hAnsi="Arial" w:cs="Arial"/>
          <w:sz w:val="20"/>
          <w:szCs w:val="20"/>
        </w:rPr>
        <w:t>the financial information contained within the JSE circular has been considered by the audit committee ,and as part of that consideration it has inter alia:</w:t>
      </w:r>
    </w:p>
    <w:p w:rsidR="00AB730F" w:rsidRPr="00C73236" w:rsidRDefault="00AB730F" w:rsidP="00AB730F">
      <w:pPr>
        <w:pStyle w:val="ListParagraph"/>
        <w:numPr>
          <w:ilvl w:val="2"/>
          <w:numId w:val="1"/>
        </w:numPr>
        <w:tabs>
          <w:tab w:val="left" w:pos="1985"/>
        </w:tabs>
        <w:spacing w:line="360" w:lineRule="auto"/>
        <w:ind w:left="1985" w:hanging="142"/>
        <w:rPr>
          <w:rFonts w:ascii="Arial" w:hAnsi="Arial" w:cs="Arial"/>
          <w:sz w:val="20"/>
          <w:szCs w:val="20"/>
        </w:rPr>
      </w:pPr>
      <w:r w:rsidRPr="00C73236">
        <w:rPr>
          <w:rFonts w:ascii="Arial" w:hAnsi="Arial" w:cs="Arial"/>
          <w:sz w:val="20"/>
          <w:szCs w:val="20"/>
        </w:rPr>
        <w:t>specifically considered the accounting policies applied in the JSE circular and believes that they are appropriate;</w:t>
      </w:r>
    </w:p>
    <w:p w:rsidR="00AB730F" w:rsidRPr="00C73236" w:rsidRDefault="00AB730F" w:rsidP="00AB730F">
      <w:pPr>
        <w:pStyle w:val="ListParagraph"/>
        <w:numPr>
          <w:ilvl w:val="2"/>
          <w:numId w:val="1"/>
        </w:numPr>
        <w:tabs>
          <w:tab w:val="left" w:pos="1134"/>
        </w:tabs>
        <w:spacing w:line="360" w:lineRule="auto"/>
        <w:ind w:left="1985" w:hanging="142"/>
        <w:rPr>
          <w:rFonts w:ascii="Arial" w:hAnsi="Arial" w:cs="Arial"/>
          <w:sz w:val="20"/>
          <w:szCs w:val="20"/>
        </w:rPr>
      </w:pPr>
      <w:r w:rsidRPr="00C73236">
        <w:rPr>
          <w:rFonts w:ascii="Arial" w:hAnsi="Arial" w:cs="Arial"/>
          <w:sz w:val="20"/>
          <w:szCs w:val="20"/>
        </w:rPr>
        <w:t>evaluated the significant judgements and reporting decisions made by management affecting the information and believes that that they are appropriate;</w:t>
      </w:r>
    </w:p>
    <w:p w:rsidR="00AB730F" w:rsidRPr="00C73236" w:rsidRDefault="00AB730F" w:rsidP="00AB730F">
      <w:pPr>
        <w:pStyle w:val="ListParagraph"/>
        <w:numPr>
          <w:ilvl w:val="2"/>
          <w:numId w:val="1"/>
        </w:numPr>
        <w:tabs>
          <w:tab w:val="left" w:pos="1134"/>
        </w:tabs>
        <w:spacing w:line="360" w:lineRule="auto"/>
        <w:ind w:left="1985" w:hanging="142"/>
        <w:rPr>
          <w:rFonts w:ascii="Arial" w:hAnsi="Arial" w:cs="Arial"/>
          <w:sz w:val="20"/>
          <w:szCs w:val="20"/>
        </w:rPr>
      </w:pPr>
      <w:r w:rsidRPr="00C73236">
        <w:rPr>
          <w:rFonts w:ascii="Arial" w:hAnsi="Arial" w:cs="Arial"/>
          <w:sz w:val="20"/>
          <w:szCs w:val="20"/>
        </w:rPr>
        <w:t>evaluated the clarity and completeness of the financial disclosures and believes that the disclosure is appropriate;</w:t>
      </w:r>
    </w:p>
    <w:p w:rsidR="00AB730F" w:rsidRPr="00C73236" w:rsidRDefault="00AB730F" w:rsidP="00AB730F">
      <w:pPr>
        <w:pStyle w:val="ListParagraph"/>
        <w:numPr>
          <w:ilvl w:val="2"/>
          <w:numId w:val="1"/>
        </w:numPr>
        <w:tabs>
          <w:tab w:val="left" w:pos="1134"/>
        </w:tabs>
        <w:spacing w:line="360" w:lineRule="auto"/>
        <w:ind w:left="1985" w:hanging="142"/>
        <w:rPr>
          <w:rFonts w:ascii="Arial" w:hAnsi="Arial" w:cs="Arial"/>
          <w:sz w:val="20"/>
          <w:szCs w:val="20"/>
        </w:rPr>
      </w:pPr>
      <w:r w:rsidRPr="00C73236">
        <w:rPr>
          <w:rFonts w:ascii="Arial" w:hAnsi="Arial" w:cs="Arial"/>
          <w:sz w:val="20"/>
          <w:szCs w:val="20"/>
        </w:rPr>
        <w:t>obtained explanations from management on the accounting for significant or unusual transactions and considered the views of the external auditors in these instances;</w:t>
      </w:r>
    </w:p>
    <w:p w:rsidR="00AB730F" w:rsidRPr="00C73236" w:rsidRDefault="00AB730F" w:rsidP="00AB730F">
      <w:pPr>
        <w:pStyle w:val="ListParagraph"/>
        <w:numPr>
          <w:ilvl w:val="2"/>
          <w:numId w:val="1"/>
        </w:numPr>
        <w:tabs>
          <w:tab w:val="left" w:pos="1134"/>
        </w:tabs>
        <w:spacing w:line="360" w:lineRule="auto"/>
        <w:ind w:left="1985" w:hanging="142"/>
        <w:rPr>
          <w:rFonts w:ascii="Arial" w:hAnsi="Arial" w:cs="Arial"/>
          <w:sz w:val="20"/>
          <w:szCs w:val="20"/>
        </w:rPr>
      </w:pPr>
      <w:r w:rsidRPr="00C73236">
        <w:rPr>
          <w:rFonts w:ascii="Arial" w:hAnsi="Arial" w:cs="Arial"/>
          <w:sz w:val="20"/>
          <w:szCs w:val="20"/>
        </w:rPr>
        <w:t>understands how materiality has been evaluated for reporting purposes and believes that the materiality levels are appropriate;</w:t>
      </w:r>
    </w:p>
    <w:p w:rsidR="00AB730F" w:rsidRPr="00C73236" w:rsidRDefault="00AB730F" w:rsidP="00AB730F">
      <w:pPr>
        <w:pStyle w:val="ListParagraph"/>
        <w:numPr>
          <w:ilvl w:val="2"/>
          <w:numId w:val="1"/>
        </w:numPr>
        <w:tabs>
          <w:tab w:val="left" w:pos="1134"/>
        </w:tabs>
        <w:spacing w:line="360" w:lineRule="auto"/>
        <w:ind w:left="1985" w:hanging="142"/>
        <w:rPr>
          <w:rFonts w:ascii="Arial" w:hAnsi="Arial" w:cs="Arial"/>
          <w:sz w:val="20"/>
          <w:szCs w:val="20"/>
        </w:rPr>
      </w:pPr>
      <w:r w:rsidRPr="00C73236">
        <w:rPr>
          <w:rFonts w:ascii="Arial" w:hAnsi="Arial" w:cs="Arial"/>
          <w:sz w:val="20"/>
          <w:szCs w:val="20"/>
        </w:rPr>
        <w:t>considered the effectiveness of internal financial controls and is satisfied with such controls;</w:t>
      </w:r>
    </w:p>
    <w:p w:rsidR="00AB730F" w:rsidRPr="00C73236" w:rsidRDefault="00AB730F" w:rsidP="00AB730F">
      <w:pPr>
        <w:pStyle w:val="ListParagraph"/>
        <w:numPr>
          <w:ilvl w:val="1"/>
          <w:numId w:val="1"/>
        </w:numPr>
        <w:tabs>
          <w:tab w:val="left" w:pos="1134"/>
        </w:tabs>
        <w:spacing w:line="360" w:lineRule="auto"/>
        <w:ind w:left="1843" w:hanging="425"/>
        <w:rPr>
          <w:rFonts w:ascii="Arial" w:hAnsi="Arial" w:cs="Arial"/>
          <w:sz w:val="20"/>
          <w:szCs w:val="20"/>
        </w:rPr>
      </w:pPr>
      <w:r w:rsidRPr="00C73236">
        <w:rPr>
          <w:rFonts w:ascii="Arial" w:hAnsi="Arial" w:cs="Arial"/>
          <w:sz w:val="20"/>
          <w:szCs w:val="20"/>
        </w:rPr>
        <w:t xml:space="preserve">the audit committee has recommended that the financial information be approved by the </w:t>
      </w:r>
      <w:r w:rsidR="002847FE">
        <w:rPr>
          <w:rFonts w:ascii="Arial" w:hAnsi="Arial" w:cs="Arial"/>
          <w:sz w:val="20"/>
          <w:szCs w:val="20"/>
        </w:rPr>
        <w:t>b</w:t>
      </w:r>
      <w:r w:rsidRPr="00C73236">
        <w:rPr>
          <w:rFonts w:ascii="Arial" w:hAnsi="Arial" w:cs="Arial"/>
          <w:sz w:val="20"/>
          <w:szCs w:val="20"/>
        </w:rPr>
        <w:t>oard</w:t>
      </w:r>
      <w:r w:rsidR="002847FE">
        <w:rPr>
          <w:rFonts w:ascii="Arial" w:hAnsi="Arial" w:cs="Arial"/>
          <w:sz w:val="20"/>
          <w:szCs w:val="20"/>
        </w:rPr>
        <w:t xml:space="preserve"> of directors</w:t>
      </w:r>
      <w:r w:rsidRPr="00C73236">
        <w:rPr>
          <w:rFonts w:ascii="Arial" w:hAnsi="Arial" w:cs="Arial"/>
          <w:sz w:val="20"/>
          <w:szCs w:val="20"/>
        </w:rPr>
        <w:t>;</w:t>
      </w:r>
    </w:p>
    <w:p w:rsidR="00AB730F" w:rsidRPr="00C73236" w:rsidRDefault="00AB730F" w:rsidP="00AB730F">
      <w:pPr>
        <w:pStyle w:val="ListParagraph"/>
        <w:numPr>
          <w:ilvl w:val="1"/>
          <w:numId w:val="1"/>
        </w:numPr>
        <w:tabs>
          <w:tab w:val="left" w:pos="1134"/>
        </w:tabs>
        <w:spacing w:line="360" w:lineRule="auto"/>
        <w:ind w:left="1843" w:hanging="425"/>
        <w:rPr>
          <w:rFonts w:ascii="Arial" w:hAnsi="Arial" w:cs="Arial"/>
          <w:sz w:val="20"/>
          <w:szCs w:val="20"/>
        </w:rPr>
      </w:pPr>
      <w:r w:rsidRPr="00C73236">
        <w:rPr>
          <w:rFonts w:ascii="Arial" w:hAnsi="Arial" w:cs="Arial"/>
          <w:sz w:val="20"/>
          <w:szCs w:val="20"/>
        </w:rPr>
        <w:t xml:space="preserve">the </w:t>
      </w:r>
      <w:r w:rsidR="002847FE">
        <w:rPr>
          <w:rFonts w:ascii="Arial" w:hAnsi="Arial" w:cs="Arial"/>
          <w:sz w:val="20"/>
          <w:szCs w:val="20"/>
        </w:rPr>
        <w:t>b</w:t>
      </w:r>
      <w:r w:rsidRPr="00C73236">
        <w:rPr>
          <w:rFonts w:ascii="Arial" w:hAnsi="Arial" w:cs="Arial"/>
          <w:sz w:val="20"/>
          <w:szCs w:val="20"/>
        </w:rPr>
        <w:t xml:space="preserve">oard </w:t>
      </w:r>
      <w:r w:rsidR="002847FE">
        <w:rPr>
          <w:rFonts w:ascii="Arial" w:hAnsi="Arial" w:cs="Arial"/>
          <w:sz w:val="20"/>
          <w:szCs w:val="20"/>
        </w:rPr>
        <w:t xml:space="preserve">of directors </w:t>
      </w:r>
      <w:r w:rsidRPr="00C73236">
        <w:rPr>
          <w:rFonts w:ascii="Arial" w:hAnsi="Arial" w:cs="Arial"/>
          <w:sz w:val="20"/>
          <w:szCs w:val="20"/>
        </w:rPr>
        <w:t>has approved the financial information including the specific matters set out in paragraph 16.10(u)(</w:t>
      </w:r>
      <w:proofErr w:type="spellStart"/>
      <w:r w:rsidRPr="00C73236">
        <w:rPr>
          <w:rFonts w:ascii="Arial" w:hAnsi="Arial" w:cs="Arial"/>
          <w:sz w:val="20"/>
          <w:szCs w:val="20"/>
        </w:rPr>
        <w:t>i</w:t>
      </w:r>
      <w:proofErr w:type="spellEnd"/>
      <w:r w:rsidRPr="00C73236">
        <w:rPr>
          <w:rFonts w:ascii="Arial" w:hAnsi="Arial" w:cs="Arial"/>
          <w:sz w:val="20"/>
          <w:szCs w:val="20"/>
        </w:rPr>
        <w:t xml:space="preserve">) above, </w:t>
      </w:r>
    </w:p>
    <w:p w:rsidR="00AB730F" w:rsidRPr="00C73236" w:rsidRDefault="00AB730F" w:rsidP="00AB730F">
      <w:pPr>
        <w:pStyle w:val="ListParagraph"/>
        <w:numPr>
          <w:ilvl w:val="1"/>
          <w:numId w:val="1"/>
        </w:numPr>
        <w:tabs>
          <w:tab w:val="left" w:pos="1134"/>
        </w:tabs>
        <w:spacing w:line="360" w:lineRule="auto"/>
        <w:ind w:left="1843" w:hanging="425"/>
        <w:rPr>
          <w:rFonts w:ascii="Arial" w:hAnsi="Arial" w:cs="Arial"/>
          <w:sz w:val="20"/>
          <w:szCs w:val="20"/>
        </w:rPr>
      </w:pPr>
      <w:r w:rsidRPr="00C73236">
        <w:rPr>
          <w:rFonts w:ascii="Arial" w:hAnsi="Arial" w:cs="Arial"/>
          <w:sz w:val="20"/>
          <w:szCs w:val="20"/>
        </w:rPr>
        <w:t xml:space="preserve">the </w:t>
      </w:r>
      <w:r w:rsidR="002847FE">
        <w:rPr>
          <w:rFonts w:ascii="Arial" w:hAnsi="Arial" w:cs="Arial"/>
          <w:sz w:val="20"/>
          <w:szCs w:val="20"/>
        </w:rPr>
        <w:t>b</w:t>
      </w:r>
      <w:r w:rsidRPr="00C73236">
        <w:rPr>
          <w:rFonts w:ascii="Arial" w:hAnsi="Arial" w:cs="Arial"/>
          <w:sz w:val="20"/>
          <w:szCs w:val="20"/>
        </w:rPr>
        <w:t xml:space="preserve">oard </w:t>
      </w:r>
      <w:r w:rsidR="002847FE">
        <w:rPr>
          <w:rFonts w:ascii="Arial" w:hAnsi="Arial" w:cs="Arial"/>
          <w:sz w:val="20"/>
          <w:szCs w:val="20"/>
        </w:rPr>
        <w:t xml:space="preserve">of directors </w:t>
      </w:r>
      <w:r w:rsidRPr="00C73236">
        <w:rPr>
          <w:rFonts w:ascii="Arial" w:hAnsi="Arial" w:cs="Arial"/>
          <w:sz w:val="20"/>
          <w:szCs w:val="20"/>
        </w:rPr>
        <w:t>to the best of their knowledge believes that the accounting polici</w:t>
      </w:r>
      <w:bookmarkStart w:id="0" w:name="_GoBack"/>
      <w:bookmarkEnd w:id="0"/>
      <w:r w:rsidRPr="00C73236">
        <w:rPr>
          <w:rFonts w:ascii="Arial" w:hAnsi="Arial" w:cs="Arial"/>
          <w:sz w:val="20"/>
          <w:szCs w:val="20"/>
        </w:rPr>
        <w:t>es disclosed in the circular will be applied in the next reporting period; and</w:t>
      </w:r>
    </w:p>
    <w:p w:rsidR="00AB730F" w:rsidRPr="00C73236" w:rsidRDefault="00AB730F" w:rsidP="00AB730F">
      <w:pPr>
        <w:pStyle w:val="ListParagraph"/>
        <w:numPr>
          <w:ilvl w:val="1"/>
          <w:numId w:val="1"/>
        </w:numPr>
        <w:tabs>
          <w:tab w:val="left" w:pos="1134"/>
        </w:tabs>
        <w:spacing w:line="360" w:lineRule="auto"/>
        <w:ind w:left="1843" w:hanging="425"/>
        <w:rPr>
          <w:rFonts w:ascii="Arial" w:hAnsi="Arial" w:cs="Arial"/>
          <w:sz w:val="20"/>
          <w:szCs w:val="20"/>
        </w:rPr>
      </w:pPr>
      <w:proofErr w:type="gramStart"/>
      <w:r w:rsidRPr="00C73236">
        <w:rPr>
          <w:rFonts w:ascii="Arial" w:hAnsi="Arial" w:cs="Arial"/>
          <w:sz w:val="20"/>
          <w:szCs w:val="20"/>
        </w:rPr>
        <w:t>the</w:t>
      </w:r>
      <w:proofErr w:type="gramEnd"/>
      <w:r w:rsidRPr="00C73236">
        <w:rPr>
          <w:rFonts w:ascii="Arial" w:hAnsi="Arial" w:cs="Arial"/>
          <w:sz w:val="20"/>
          <w:szCs w:val="20"/>
        </w:rPr>
        <w:t xml:space="preserve"> </w:t>
      </w:r>
      <w:r w:rsidR="002847FE">
        <w:rPr>
          <w:rFonts w:ascii="Arial" w:hAnsi="Arial" w:cs="Arial"/>
          <w:sz w:val="20"/>
          <w:szCs w:val="20"/>
        </w:rPr>
        <w:t>b</w:t>
      </w:r>
      <w:r w:rsidRPr="00C73236">
        <w:rPr>
          <w:rFonts w:ascii="Arial" w:hAnsi="Arial" w:cs="Arial"/>
          <w:sz w:val="20"/>
          <w:szCs w:val="20"/>
        </w:rPr>
        <w:t xml:space="preserve">oard </w:t>
      </w:r>
      <w:r w:rsidR="002847FE">
        <w:rPr>
          <w:rFonts w:ascii="Arial" w:hAnsi="Arial" w:cs="Arial"/>
          <w:sz w:val="20"/>
          <w:szCs w:val="20"/>
        </w:rPr>
        <w:t xml:space="preserve">of directors </w:t>
      </w:r>
      <w:r w:rsidRPr="00C73236">
        <w:rPr>
          <w:rFonts w:ascii="Arial" w:hAnsi="Arial" w:cs="Arial"/>
          <w:sz w:val="20"/>
          <w:szCs w:val="20"/>
        </w:rPr>
        <w:t xml:space="preserve">considers the internal controls of the </w:t>
      </w:r>
      <w:r w:rsidR="002847FE">
        <w:rPr>
          <w:rFonts w:ascii="Arial" w:hAnsi="Arial" w:cs="Arial"/>
          <w:sz w:val="20"/>
          <w:szCs w:val="20"/>
        </w:rPr>
        <w:t>issuer</w:t>
      </w:r>
      <w:r w:rsidRPr="00C73236">
        <w:rPr>
          <w:rFonts w:ascii="Arial" w:hAnsi="Arial" w:cs="Arial"/>
          <w:sz w:val="20"/>
          <w:szCs w:val="20"/>
        </w:rPr>
        <w:t xml:space="preserve"> to be effective.</w:t>
      </w:r>
    </w:p>
    <w:p w:rsidR="00AB730F" w:rsidRPr="00C73236" w:rsidRDefault="00AB730F" w:rsidP="00AB730F">
      <w:pPr>
        <w:tabs>
          <w:tab w:val="left" w:pos="3544"/>
        </w:tabs>
        <w:spacing w:line="360" w:lineRule="auto"/>
        <w:ind w:left="1843" w:hanging="425"/>
        <w:rPr>
          <w:rFonts w:cs="Arial"/>
        </w:rPr>
      </w:pPr>
    </w:p>
    <w:sectPr w:rsidR="00AB730F" w:rsidRPr="00C73236" w:rsidSect="003F331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7FC" w:rsidRDefault="002167FC" w:rsidP="001475CF">
      <w:pPr>
        <w:spacing w:after="0" w:line="240" w:lineRule="auto"/>
      </w:pPr>
      <w:r>
        <w:separator/>
      </w:r>
    </w:p>
  </w:endnote>
  <w:endnote w:type="continuationSeparator" w:id="0">
    <w:p w:rsidR="002167FC" w:rsidRDefault="002167FC" w:rsidP="00147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2016"/>
      <w:docPartObj>
        <w:docPartGallery w:val="Page Numbers (Bottom of Page)"/>
        <w:docPartUnique/>
      </w:docPartObj>
    </w:sdtPr>
    <w:sdtContent>
      <w:p w:rsidR="002376B7" w:rsidRDefault="00AC709F">
        <w:pPr>
          <w:pStyle w:val="Footer"/>
          <w:jc w:val="right"/>
        </w:pPr>
        <w:fldSimple w:instr=" PAGE   \* MERGEFORMAT ">
          <w:r w:rsidR="006924EC">
            <w:rPr>
              <w:noProof/>
            </w:rPr>
            <w:t>1</w:t>
          </w:r>
        </w:fldSimple>
      </w:p>
    </w:sdtContent>
  </w:sdt>
  <w:p w:rsidR="002376B7" w:rsidRDefault="00237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7FC" w:rsidRDefault="002167FC" w:rsidP="001475CF">
      <w:pPr>
        <w:spacing w:after="0" w:line="240" w:lineRule="auto"/>
      </w:pPr>
      <w:r>
        <w:separator/>
      </w:r>
    </w:p>
  </w:footnote>
  <w:footnote w:type="continuationSeparator" w:id="0">
    <w:p w:rsidR="002167FC" w:rsidRDefault="002167FC" w:rsidP="00147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166E8"/>
    <w:multiLevelType w:val="hybridMultilevel"/>
    <w:tmpl w:val="EE6EB7B0"/>
    <w:lvl w:ilvl="0" w:tplc="1C090011">
      <w:start w:val="1"/>
      <w:numFmt w:val="decimal"/>
      <w:lvlText w:val="%1)"/>
      <w:lvlJc w:val="left"/>
      <w:pPr>
        <w:ind w:left="720" w:hanging="360"/>
      </w:pPr>
    </w:lvl>
    <w:lvl w:ilvl="1" w:tplc="74BCF386">
      <w:start w:val="1"/>
      <w:numFmt w:val="lowerRoman"/>
      <w:lvlText w:val="(%2)"/>
      <w:lvlJc w:val="left"/>
      <w:pPr>
        <w:ind w:left="1997" w:hanging="72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447AC5"/>
    <w:rsid w:val="001167E4"/>
    <w:rsid w:val="001475CF"/>
    <w:rsid w:val="002167FC"/>
    <w:rsid w:val="002376B7"/>
    <w:rsid w:val="002847FE"/>
    <w:rsid w:val="002E5B65"/>
    <w:rsid w:val="003F331A"/>
    <w:rsid w:val="00447AC5"/>
    <w:rsid w:val="00551219"/>
    <w:rsid w:val="006924EC"/>
    <w:rsid w:val="006C7EE3"/>
    <w:rsid w:val="006E1617"/>
    <w:rsid w:val="007C53FB"/>
    <w:rsid w:val="00903F25"/>
    <w:rsid w:val="009D48CB"/>
    <w:rsid w:val="00A70CC6"/>
    <w:rsid w:val="00AB730F"/>
    <w:rsid w:val="00AC709F"/>
    <w:rsid w:val="00B93B5F"/>
    <w:rsid w:val="00BD6FA4"/>
    <w:rsid w:val="00F555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AC5"/>
    <w:pPr>
      <w:spacing w:after="0" w:line="240" w:lineRule="auto"/>
    </w:pPr>
    <w:rPr>
      <w:rFonts w:ascii="Arial" w:eastAsia="Times" w:hAnsi="Arial" w:cs="Times New Roman"/>
      <w:sz w:val="20"/>
      <w:szCs w:val="20"/>
      <w:lang w:val="en-US"/>
    </w:rPr>
  </w:style>
  <w:style w:type="character" w:styleId="CommentReference">
    <w:name w:val="annotation reference"/>
    <w:basedOn w:val="DefaultParagraphFont"/>
    <w:rsid w:val="00447AC5"/>
    <w:rPr>
      <w:sz w:val="16"/>
      <w:szCs w:val="16"/>
    </w:rPr>
  </w:style>
  <w:style w:type="paragraph" w:styleId="CommentText">
    <w:name w:val="annotation text"/>
    <w:basedOn w:val="Normal"/>
    <w:link w:val="CommentTextChar"/>
    <w:rsid w:val="00447AC5"/>
    <w:pPr>
      <w:spacing w:after="0" w:line="312" w:lineRule="auto"/>
    </w:pPr>
    <w:rPr>
      <w:rFonts w:ascii="Arial" w:eastAsia="Times" w:hAnsi="Arial" w:cs="Times New Roman"/>
      <w:sz w:val="20"/>
      <w:szCs w:val="20"/>
      <w:lang w:val="en-US"/>
    </w:rPr>
  </w:style>
  <w:style w:type="character" w:customStyle="1" w:styleId="CommentTextChar">
    <w:name w:val="Comment Text Char"/>
    <w:basedOn w:val="DefaultParagraphFont"/>
    <w:link w:val="CommentText"/>
    <w:rsid w:val="00447AC5"/>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44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C5"/>
    <w:rPr>
      <w:rFonts w:ascii="Tahoma" w:hAnsi="Tahoma" w:cs="Tahoma"/>
      <w:sz w:val="16"/>
      <w:szCs w:val="16"/>
    </w:rPr>
  </w:style>
  <w:style w:type="paragraph" w:styleId="ListParagraph">
    <w:name w:val="List Paragraph"/>
    <w:basedOn w:val="Normal"/>
    <w:uiPriority w:val="34"/>
    <w:qFormat/>
    <w:rsid w:val="00AB730F"/>
    <w:pPr>
      <w:spacing w:after="0" w:line="240" w:lineRule="auto"/>
      <w:ind w:left="720"/>
    </w:pPr>
    <w:rPr>
      <w:rFonts w:ascii="Calibri" w:eastAsia="Calibri" w:hAnsi="Calibri" w:cs="Times New Roman"/>
      <w:lang w:eastAsia="en-ZA"/>
    </w:rPr>
  </w:style>
  <w:style w:type="paragraph" w:styleId="Header">
    <w:name w:val="header"/>
    <w:basedOn w:val="Normal"/>
    <w:link w:val="HeaderChar"/>
    <w:uiPriority w:val="99"/>
    <w:semiHidden/>
    <w:unhideWhenUsed/>
    <w:rsid w:val="002376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76B7"/>
  </w:style>
  <w:style w:type="paragraph" w:styleId="Footer">
    <w:name w:val="footer"/>
    <w:basedOn w:val="Normal"/>
    <w:link w:val="FooterChar"/>
    <w:uiPriority w:val="99"/>
    <w:unhideWhenUsed/>
    <w:rsid w:val="00237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6B7"/>
  </w:style>
</w:styles>
</file>

<file path=word/webSettings.xml><?xml version="1.0" encoding="utf-8"?>
<w:webSettings xmlns:r="http://schemas.openxmlformats.org/officeDocument/2006/relationships" xmlns:w="http://schemas.openxmlformats.org/wordprocessingml/2006/main">
  <w:divs>
    <w:div w:id="1314942128">
      <w:bodyDiv w:val="1"/>
      <w:marLeft w:val="0"/>
      <w:marRight w:val="0"/>
      <w:marTop w:val="0"/>
      <w:marBottom w:val="0"/>
      <w:divBdr>
        <w:top w:val="none" w:sz="0" w:space="0" w:color="auto"/>
        <w:left w:val="none" w:sz="0" w:space="0" w:color="auto"/>
        <w:bottom w:val="none" w:sz="0" w:space="0" w:color="auto"/>
        <w:right w:val="none" w:sz="0" w:space="0" w:color="auto"/>
      </w:divBdr>
    </w:div>
    <w:div w:id="15312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Wimberley</dc:creator>
  <cp:keywords/>
  <dc:description/>
  <cp:lastModifiedBy>Tania Wimberley</cp:lastModifiedBy>
  <cp:revision>5</cp:revision>
  <dcterms:created xsi:type="dcterms:W3CDTF">2012-04-04T14:36:00Z</dcterms:created>
  <dcterms:modified xsi:type="dcterms:W3CDTF">2012-04-11T08:14:00Z</dcterms:modified>
</cp:coreProperties>
</file>